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B02F4">
      <w:pP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评分因素及评标标准</w:t>
      </w:r>
    </w:p>
    <w:p w14:paraId="78C75267">
      <w:pPr>
        <w:rPr>
          <w:color w:val="000000" w:themeColor="text1"/>
          <w:sz w:val="24"/>
          <w:highlight w:val="none"/>
          <w14:textFill>
            <w14:solidFill>
              <w14:schemeClr w14:val="tx1"/>
            </w14:solidFill>
          </w14:textFill>
        </w:rPr>
      </w:pPr>
    </w:p>
    <w:tbl>
      <w:tblPr>
        <w:tblStyle w:val="2"/>
        <w:tblW w:w="10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419"/>
        <w:gridCol w:w="7311"/>
        <w:gridCol w:w="932"/>
      </w:tblGrid>
      <w:tr w14:paraId="094F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495B5683">
            <w:pPr>
              <w:widowControl/>
              <w:adjustRightInd w:val="0"/>
              <w:snapToGrid w:val="0"/>
              <w:jc w:val="center"/>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第一部分 价格（</w:t>
            </w:r>
            <w:r>
              <w:rPr>
                <w:rFonts w:hint="eastAsia"/>
                <w:color w:val="000000" w:themeColor="text1"/>
                <w:kern w:val="0"/>
                <w:sz w:val="24"/>
                <w:szCs w:val="24"/>
                <w:highlight w:val="none"/>
                <w14:textFill>
                  <w14:solidFill>
                    <w14:schemeClr w14:val="tx1"/>
                  </w14:solidFill>
                </w14:textFill>
              </w:rPr>
              <w:t>2</w:t>
            </w:r>
            <w:r>
              <w:rPr>
                <w:color w:val="000000" w:themeColor="text1"/>
                <w:kern w:val="0"/>
                <w:sz w:val="24"/>
                <w:szCs w:val="24"/>
                <w:highlight w:val="none"/>
                <w14:textFill>
                  <w14:solidFill>
                    <w14:schemeClr w14:val="tx1"/>
                  </w14:solidFill>
                </w14:textFill>
              </w:rPr>
              <w:t>0分）</w:t>
            </w:r>
          </w:p>
        </w:tc>
        <w:tc>
          <w:tcPr>
            <w:tcW w:w="932" w:type="dxa"/>
            <w:shd w:val="clear" w:color="auto" w:fill="auto"/>
            <w:vAlign w:val="center"/>
          </w:tcPr>
          <w:p w14:paraId="37446D0D">
            <w:pPr>
              <w:widowControl/>
              <w:adjustRightInd w:val="0"/>
              <w:snapToGrid w:val="0"/>
              <w:jc w:val="center"/>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分值</w:t>
            </w:r>
          </w:p>
        </w:tc>
      </w:tr>
      <w:tr w14:paraId="42D3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5E2555A4">
            <w:pPr>
              <w:widowControl/>
              <w:adjustRightInd w:val="0"/>
              <w:snapToGrid w:val="0"/>
              <w:jc w:val="center"/>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1</w:t>
            </w:r>
          </w:p>
        </w:tc>
        <w:tc>
          <w:tcPr>
            <w:tcW w:w="1419" w:type="dxa"/>
            <w:shd w:val="clear" w:color="auto" w:fill="auto"/>
            <w:vAlign w:val="center"/>
          </w:tcPr>
          <w:p w14:paraId="7F23B761">
            <w:pPr>
              <w:widowControl/>
              <w:adjustRightInd w:val="0"/>
              <w:snapToGrid w:val="0"/>
              <w:jc w:val="center"/>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价格</w:t>
            </w:r>
          </w:p>
        </w:tc>
        <w:tc>
          <w:tcPr>
            <w:tcW w:w="7311" w:type="dxa"/>
            <w:shd w:val="clear" w:color="auto" w:fill="auto"/>
            <w:vAlign w:val="center"/>
          </w:tcPr>
          <w:p w14:paraId="4BCCB1B2">
            <w:pPr>
              <w:widowControl/>
              <w:adjustRightInd w:val="0"/>
              <w:snapToGrid w:val="0"/>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（1）投标报价超过采购预算的，投标无效，未超过采购预算的投标报价按以下公式进行计算。</w:t>
            </w:r>
          </w:p>
          <w:p w14:paraId="5204E9DB">
            <w:pPr>
              <w:widowControl/>
              <w:adjustRightInd w:val="0"/>
              <w:snapToGrid w:val="0"/>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（2）投标报价得分=（评标基准价/投标报价）×</w:t>
            </w:r>
            <w:r>
              <w:rPr>
                <w:rFonts w:hint="eastAsia"/>
                <w:color w:val="000000" w:themeColor="text1"/>
                <w:kern w:val="0"/>
                <w:sz w:val="24"/>
                <w:szCs w:val="24"/>
                <w:highlight w:val="none"/>
                <w14:textFill>
                  <w14:solidFill>
                    <w14:schemeClr w14:val="tx1"/>
                  </w14:solidFill>
                </w14:textFill>
              </w:rPr>
              <w:t>2</w:t>
            </w:r>
            <w:r>
              <w:rPr>
                <w:color w:val="000000" w:themeColor="text1"/>
                <w:kern w:val="0"/>
                <w:sz w:val="24"/>
                <w:szCs w:val="24"/>
                <w:highlight w:val="none"/>
                <w14:textFill>
                  <w14:solidFill>
                    <w14:schemeClr w14:val="tx1"/>
                  </w14:solidFill>
                </w14:textFill>
              </w:rPr>
              <w:t>0</w:t>
            </w:r>
          </w:p>
          <w:p w14:paraId="39B5166C">
            <w:pPr>
              <w:widowControl/>
              <w:adjustRightInd w:val="0"/>
              <w:snapToGrid w:val="0"/>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注：满足</w:t>
            </w:r>
            <w:r>
              <w:rPr>
                <w:rFonts w:hint="eastAsia"/>
                <w:color w:val="000000" w:themeColor="text1"/>
                <w:kern w:val="0"/>
                <w:sz w:val="24"/>
                <w:szCs w:val="24"/>
                <w:highlight w:val="none"/>
                <w14:textFill>
                  <w14:solidFill>
                    <w14:schemeClr w14:val="tx1"/>
                  </w14:solidFill>
                </w14:textFill>
              </w:rPr>
              <w:t>采购</w:t>
            </w:r>
            <w:r>
              <w:rPr>
                <w:color w:val="000000" w:themeColor="text1"/>
                <w:kern w:val="0"/>
                <w:sz w:val="24"/>
                <w:szCs w:val="24"/>
                <w:highlight w:val="none"/>
                <w14:textFill>
                  <w14:solidFill>
                    <w14:schemeClr w14:val="tx1"/>
                  </w14:solidFill>
                </w14:textFill>
              </w:rPr>
              <w:t>文件要求且投标报价最低的投标报价为评标基准价。</w:t>
            </w:r>
          </w:p>
        </w:tc>
        <w:tc>
          <w:tcPr>
            <w:tcW w:w="932" w:type="dxa"/>
            <w:shd w:val="clear" w:color="auto" w:fill="auto"/>
            <w:vAlign w:val="center"/>
          </w:tcPr>
          <w:p w14:paraId="5B1B9E4A">
            <w:pPr>
              <w:widowControl/>
              <w:adjustRightInd w:val="0"/>
              <w:snapToGrid w:val="0"/>
              <w:jc w:val="center"/>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2</w:t>
            </w:r>
            <w:r>
              <w:rPr>
                <w:color w:val="000000" w:themeColor="text1"/>
                <w:kern w:val="0"/>
                <w:sz w:val="24"/>
                <w:szCs w:val="24"/>
                <w:highlight w:val="none"/>
                <w14:textFill>
                  <w14:solidFill>
                    <w14:schemeClr w14:val="tx1"/>
                  </w14:solidFill>
                </w14:textFill>
              </w:rPr>
              <w:t>0</w:t>
            </w:r>
          </w:p>
        </w:tc>
      </w:tr>
      <w:tr w14:paraId="00BB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9393" w:type="dxa"/>
            <w:gridSpan w:val="3"/>
            <w:shd w:val="clear" w:color="auto" w:fill="auto"/>
            <w:noWrap/>
            <w:vAlign w:val="center"/>
          </w:tcPr>
          <w:p w14:paraId="1CB29B9C">
            <w:pPr>
              <w:widowControl/>
              <w:adjustRightInd w:val="0"/>
              <w:snapToGrid w:val="0"/>
              <w:jc w:val="center"/>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第二部分 客观分</w:t>
            </w:r>
            <w:r>
              <w:rPr>
                <w:rFonts w:hint="eastAsia"/>
                <w:color w:val="000000" w:themeColor="text1"/>
                <w:kern w:val="0"/>
                <w:sz w:val="24"/>
                <w:szCs w:val="24"/>
                <w:highlight w:val="none"/>
                <w14:textFill>
                  <w14:solidFill>
                    <w14:schemeClr w14:val="tx1"/>
                  </w14:solidFill>
                </w14:textFill>
              </w:rPr>
              <w:t>（3</w:t>
            </w:r>
            <w:r>
              <w:rPr>
                <w:rFonts w:hint="eastAsia"/>
                <w:color w:val="000000" w:themeColor="text1"/>
                <w:kern w:val="0"/>
                <w:sz w:val="24"/>
                <w:szCs w:val="24"/>
                <w:highlight w:val="none"/>
                <w:lang w:val="en-US" w:eastAsia="zh-CN"/>
                <w14:textFill>
                  <w14:solidFill>
                    <w14:schemeClr w14:val="tx1"/>
                  </w14:solidFill>
                </w14:textFill>
              </w:rPr>
              <w:t>2</w:t>
            </w:r>
            <w:r>
              <w:rPr>
                <w:color w:val="000000" w:themeColor="text1"/>
                <w:kern w:val="0"/>
                <w:sz w:val="24"/>
                <w:szCs w:val="24"/>
                <w:highlight w:val="none"/>
                <w14:textFill>
                  <w14:solidFill>
                    <w14:schemeClr w14:val="tx1"/>
                  </w14:solidFill>
                </w14:textFill>
              </w:rPr>
              <w:t>分）</w:t>
            </w:r>
          </w:p>
        </w:tc>
        <w:tc>
          <w:tcPr>
            <w:tcW w:w="932" w:type="dxa"/>
            <w:shd w:val="clear" w:color="auto" w:fill="auto"/>
            <w:vAlign w:val="center"/>
          </w:tcPr>
          <w:p w14:paraId="221E7701">
            <w:pPr>
              <w:widowControl/>
              <w:adjustRightInd w:val="0"/>
              <w:snapToGrid w:val="0"/>
              <w:jc w:val="center"/>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分值</w:t>
            </w:r>
          </w:p>
        </w:tc>
      </w:tr>
      <w:tr w14:paraId="0841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63EFFC92">
            <w:pPr>
              <w:widowControl/>
              <w:adjustRightInd w:val="0"/>
              <w:snapToGrid w:val="0"/>
              <w:jc w:val="center"/>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1</w:t>
            </w:r>
          </w:p>
        </w:tc>
        <w:tc>
          <w:tcPr>
            <w:tcW w:w="1419" w:type="dxa"/>
            <w:shd w:val="clear" w:color="auto" w:fill="auto"/>
            <w:vAlign w:val="center"/>
          </w:tcPr>
          <w:p w14:paraId="0240FD87">
            <w:pPr>
              <w:widowControl/>
              <w:adjustRightInd w:val="0"/>
              <w:snapToGrid w:val="0"/>
              <w:jc w:val="center"/>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投标人业绩</w:t>
            </w:r>
          </w:p>
        </w:tc>
        <w:tc>
          <w:tcPr>
            <w:tcW w:w="7311" w:type="dxa"/>
            <w:shd w:val="clear" w:color="auto" w:fill="auto"/>
            <w:vAlign w:val="center"/>
          </w:tcPr>
          <w:p w14:paraId="7268B63B">
            <w:pPr>
              <w:widowControl/>
              <w:adjustRightInd w:val="0"/>
              <w:snapToGrid w:val="0"/>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完全按照以下要求提供</w:t>
            </w:r>
            <w:r>
              <w:rPr>
                <w:rFonts w:hint="eastAsia"/>
                <w:color w:val="000000" w:themeColor="text1"/>
                <w:kern w:val="0"/>
                <w:sz w:val="24"/>
                <w:szCs w:val="24"/>
                <w:highlight w:val="none"/>
                <w14:textFill>
                  <w14:solidFill>
                    <w14:schemeClr w14:val="tx1"/>
                  </w14:solidFill>
                </w14:textFill>
              </w:rPr>
              <w:t>互联网接入服务业绩</w:t>
            </w:r>
            <w:r>
              <w:rPr>
                <w:color w:val="000000" w:themeColor="text1"/>
                <w:kern w:val="0"/>
                <w:sz w:val="24"/>
                <w:szCs w:val="24"/>
                <w:highlight w:val="none"/>
                <w14:textFill>
                  <w14:solidFill>
                    <w14:schemeClr w14:val="tx1"/>
                  </w14:solidFill>
                </w14:textFill>
              </w:rPr>
              <w:t>，提供的证明材料均不得遮挡涂黑，否则不予认定加分。</w:t>
            </w:r>
          </w:p>
          <w:p w14:paraId="03CAA5A4">
            <w:pPr>
              <w:widowControl/>
              <w:adjustRightInd w:val="0"/>
              <w:snapToGrid w:val="0"/>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A</w:t>
            </w:r>
            <w:r>
              <w:rPr>
                <w:color w:val="000000" w:themeColor="text1"/>
                <w:kern w:val="0"/>
                <w:sz w:val="24"/>
                <w:szCs w:val="24"/>
                <w:highlight w:val="none"/>
                <w14:textFill>
                  <w14:solidFill>
                    <w14:schemeClr w14:val="tx1"/>
                  </w14:solidFill>
                </w14:textFill>
              </w:rPr>
              <w:t>. 合同</w:t>
            </w:r>
            <w:r>
              <w:rPr>
                <w:rFonts w:hint="eastAsia"/>
                <w:color w:val="000000" w:themeColor="text1"/>
                <w:kern w:val="0"/>
                <w:sz w:val="24"/>
                <w:szCs w:val="24"/>
                <w:highlight w:val="none"/>
                <w14:textFill>
                  <w14:solidFill>
                    <w14:schemeClr w14:val="tx1"/>
                  </w14:solidFill>
                </w14:textFill>
              </w:rPr>
              <w:t>原件</w:t>
            </w:r>
            <w:r>
              <w:rPr>
                <w:color w:val="000000" w:themeColor="text1"/>
                <w:kern w:val="0"/>
                <w:sz w:val="24"/>
                <w:szCs w:val="24"/>
                <w:highlight w:val="none"/>
                <w14:textFill>
                  <w14:solidFill>
                    <w14:schemeClr w14:val="tx1"/>
                  </w14:solidFill>
                </w14:textFill>
              </w:rPr>
              <w:t>扫描件。包括买卖双方名称及盖章、服务内容</w:t>
            </w:r>
            <w:r>
              <w:rPr>
                <w:rFonts w:hint="eastAsia"/>
                <w:bCs/>
                <w:color w:val="000000" w:themeColor="text1"/>
                <w:sz w:val="24"/>
                <w:highlight w:val="none"/>
                <w14:textFill>
                  <w14:solidFill>
                    <w14:schemeClr w14:val="tx1"/>
                  </w14:solidFill>
                </w14:textFill>
              </w:rPr>
              <w:t>、合同签订日期（应为2023年1月1日或以后）</w:t>
            </w:r>
            <w:r>
              <w:rPr>
                <w:color w:val="000000" w:themeColor="text1"/>
                <w:kern w:val="0"/>
                <w:sz w:val="24"/>
                <w:szCs w:val="24"/>
                <w:highlight w:val="none"/>
                <w14:textFill>
                  <w14:solidFill>
                    <w14:schemeClr w14:val="tx1"/>
                  </w14:solidFill>
                </w14:textFill>
              </w:rPr>
              <w:t>。</w:t>
            </w:r>
          </w:p>
          <w:p w14:paraId="12B1B90A">
            <w:pPr>
              <w:adjustRightInd w:val="0"/>
              <w:snapToGrid w:val="0"/>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B.</w:t>
            </w:r>
            <w:r>
              <w:rPr>
                <w:rFonts w:hint="eastAsia"/>
                <w:color w:val="000000" w:themeColor="text1"/>
                <w:kern w:val="0"/>
                <w:sz w:val="24"/>
                <w:szCs w:val="24"/>
                <w:highlight w:val="none"/>
                <w14:textFill>
                  <w14:solidFill>
                    <w14:schemeClr w14:val="tx1"/>
                  </w14:solidFill>
                </w14:textFill>
              </w:rPr>
              <w:t xml:space="preserve"> 上述</w:t>
            </w:r>
            <w:r>
              <w:rPr>
                <w:color w:val="000000" w:themeColor="text1"/>
                <w:kern w:val="0"/>
                <w:sz w:val="24"/>
                <w:szCs w:val="24"/>
                <w:highlight w:val="none"/>
                <w14:textFill>
                  <w14:solidFill>
                    <w14:schemeClr w14:val="tx1"/>
                  </w14:solidFill>
                </w14:textFill>
              </w:rPr>
              <w:t>合同履行</w:t>
            </w:r>
            <w:r>
              <w:rPr>
                <w:rFonts w:hint="eastAsia"/>
                <w:color w:val="000000" w:themeColor="text1"/>
                <w:kern w:val="0"/>
                <w:sz w:val="24"/>
                <w:szCs w:val="24"/>
                <w:highlight w:val="none"/>
                <w14:textFill>
                  <w14:solidFill>
                    <w14:schemeClr w14:val="tx1"/>
                  </w14:solidFill>
                </w14:textFill>
              </w:rPr>
              <w:t>良好</w:t>
            </w:r>
            <w:r>
              <w:rPr>
                <w:color w:val="000000" w:themeColor="text1"/>
                <w:kern w:val="0"/>
                <w:sz w:val="24"/>
                <w:szCs w:val="24"/>
                <w:highlight w:val="none"/>
                <w14:textFill>
                  <w14:solidFill>
                    <w14:schemeClr w14:val="tx1"/>
                  </w14:solidFill>
                </w14:textFill>
              </w:rPr>
              <w:t>的相关证明材料</w:t>
            </w:r>
            <w:r>
              <w:rPr>
                <w:rFonts w:hint="eastAsia"/>
                <w:color w:val="000000" w:themeColor="text1"/>
                <w:kern w:val="0"/>
                <w:sz w:val="24"/>
                <w:szCs w:val="24"/>
                <w:highlight w:val="none"/>
                <w14:textFill>
                  <w14:solidFill>
                    <w14:schemeClr w14:val="tx1"/>
                  </w14:solidFill>
                </w14:textFill>
              </w:rPr>
              <w:t>原件</w:t>
            </w:r>
            <w:r>
              <w:rPr>
                <w:color w:val="000000" w:themeColor="text1"/>
                <w:kern w:val="0"/>
                <w:sz w:val="24"/>
                <w:szCs w:val="24"/>
                <w:highlight w:val="none"/>
                <w14:textFill>
                  <w14:solidFill>
                    <w14:schemeClr w14:val="tx1"/>
                  </w14:solidFill>
                </w14:textFill>
              </w:rPr>
              <w:t>扫描件</w:t>
            </w:r>
            <w:r>
              <w:rPr>
                <w:rFonts w:hint="eastAsia"/>
                <w:color w:val="000000" w:themeColor="text1"/>
                <w:kern w:val="0"/>
                <w:sz w:val="24"/>
                <w:szCs w:val="24"/>
                <w:highlight w:val="none"/>
                <w14:textFill>
                  <w14:solidFill>
                    <w14:schemeClr w14:val="tx1"/>
                  </w14:solidFill>
                </w14:textFill>
              </w:rPr>
              <w:t>（加盖上述合同甲方单位公章或上述合同中所盖的甲方印章）</w:t>
            </w:r>
            <w:r>
              <w:rPr>
                <w:color w:val="000000" w:themeColor="text1"/>
                <w:kern w:val="0"/>
                <w:sz w:val="24"/>
                <w:szCs w:val="24"/>
                <w:highlight w:val="none"/>
                <w14:textFill>
                  <w14:solidFill>
                    <w14:schemeClr w14:val="tx1"/>
                  </w14:solidFill>
                </w14:textFill>
              </w:rPr>
              <w:t>。</w:t>
            </w:r>
          </w:p>
          <w:p w14:paraId="77D6E2B7">
            <w:pPr>
              <w:widowControl/>
              <w:adjustRightInd w:val="0"/>
              <w:snapToGrid w:val="0"/>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每个</w:t>
            </w:r>
            <w:r>
              <w:rPr>
                <w:rFonts w:hint="eastAsia"/>
                <w:color w:val="000000" w:themeColor="text1"/>
                <w:kern w:val="0"/>
                <w:sz w:val="24"/>
                <w:szCs w:val="24"/>
                <w:highlight w:val="none"/>
                <w14:textFill>
                  <w14:solidFill>
                    <w14:schemeClr w14:val="tx1"/>
                  </w14:solidFill>
                </w14:textFill>
              </w:rPr>
              <w:t>业绩2</w:t>
            </w:r>
            <w:r>
              <w:rPr>
                <w:color w:val="000000" w:themeColor="text1"/>
                <w:kern w:val="0"/>
                <w:sz w:val="24"/>
                <w:szCs w:val="24"/>
                <w:highlight w:val="none"/>
                <w14:textFill>
                  <w14:solidFill>
                    <w14:schemeClr w14:val="tx1"/>
                  </w14:solidFill>
                </w14:textFill>
              </w:rPr>
              <w:t>分，最多</w:t>
            </w:r>
            <w:r>
              <w:rPr>
                <w:rFonts w:hint="eastAsia"/>
                <w:color w:val="000000" w:themeColor="text1"/>
                <w:kern w:val="0"/>
                <w:sz w:val="24"/>
                <w:szCs w:val="24"/>
                <w:highlight w:val="none"/>
                <w14:textFill>
                  <w14:solidFill>
                    <w14:schemeClr w14:val="tx1"/>
                  </w14:solidFill>
                </w14:textFill>
              </w:rPr>
              <w:t>10</w:t>
            </w:r>
            <w:r>
              <w:rPr>
                <w:color w:val="000000" w:themeColor="text1"/>
                <w:kern w:val="0"/>
                <w:sz w:val="24"/>
                <w:szCs w:val="24"/>
                <w:highlight w:val="none"/>
                <w14:textFill>
                  <w14:solidFill>
                    <w14:schemeClr w14:val="tx1"/>
                  </w14:solidFill>
                </w14:textFill>
              </w:rPr>
              <w:t>分</w:t>
            </w:r>
          </w:p>
        </w:tc>
        <w:tc>
          <w:tcPr>
            <w:tcW w:w="932" w:type="dxa"/>
            <w:shd w:val="clear" w:color="auto" w:fill="auto"/>
            <w:vAlign w:val="center"/>
          </w:tcPr>
          <w:p w14:paraId="1B75D01E">
            <w:pPr>
              <w:widowControl/>
              <w:adjustRightInd w:val="0"/>
              <w:snapToGrid w:val="0"/>
              <w:jc w:val="center"/>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10</w:t>
            </w:r>
          </w:p>
        </w:tc>
      </w:tr>
      <w:tr w14:paraId="2C3E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63" w:type="dxa"/>
            <w:shd w:val="clear" w:color="auto" w:fill="auto"/>
            <w:noWrap/>
            <w:vAlign w:val="center"/>
          </w:tcPr>
          <w:p w14:paraId="66C034BA">
            <w:pPr>
              <w:widowControl/>
              <w:adjustRightInd w:val="0"/>
              <w:snapToGrid w:val="0"/>
              <w:jc w:val="center"/>
              <w:rPr>
                <w:rFonts w:hint="eastAsia" w:eastAsia="宋体"/>
                <w:color w:val="000000" w:themeColor="text1"/>
                <w:kern w:val="0"/>
                <w:sz w:val="24"/>
                <w:szCs w:val="24"/>
                <w:highlight w:val="none"/>
                <w:lang w:eastAsia="zh-CN"/>
                <w14:textFill>
                  <w14:solidFill>
                    <w14:schemeClr w14:val="tx1"/>
                  </w14:solidFill>
                </w14:textFill>
              </w:rPr>
            </w:pPr>
            <w:r>
              <w:rPr>
                <w:rFonts w:hint="eastAsia"/>
                <w:color w:val="000000" w:themeColor="text1"/>
                <w:kern w:val="0"/>
                <w:sz w:val="24"/>
                <w:szCs w:val="24"/>
                <w:highlight w:val="none"/>
                <w:lang w:val="en-US" w:eastAsia="zh-CN"/>
                <w14:textFill>
                  <w14:solidFill>
                    <w14:schemeClr w14:val="tx1"/>
                  </w14:solidFill>
                </w14:textFill>
              </w:rPr>
              <w:t>2</w:t>
            </w:r>
          </w:p>
        </w:tc>
        <w:tc>
          <w:tcPr>
            <w:tcW w:w="1419" w:type="dxa"/>
            <w:shd w:val="clear" w:color="auto" w:fill="auto"/>
            <w:vAlign w:val="center"/>
          </w:tcPr>
          <w:p w14:paraId="545F216D">
            <w:pPr>
              <w:widowControl/>
              <w:adjustRightInd w:val="0"/>
              <w:snapToGrid w:val="0"/>
              <w:jc w:val="center"/>
              <w:rPr>
                <w:color w:val="000000" w:themeColor="text1"/>
                <w:kern w:val="0"/>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投入</w:t>
            </w:r>
            <w:r>
              <w:rPr>
                <w:color w:val="000000" w:themeColor="text1"/>
                <w:sz w:val="24"/>
                <w:highlight w:val="none"/>
                <w14:textFill>
                  <w14:solidFill>
                    <w14:schemeClr w14:val="tx1"/>
                  </w14:solidFill>
                </w14:textFill>
              </w:rPr>
              <w:t>人员评价</w:t>
            </w:r>
          </w:p>
        </w:tc>
        <w:tc>
          <w:tcPr>
            <w:tcW w:w="7311" w:type="dxa"/>
            <w:shd w:val="clear" w:color="auto" w:fill="auto"/>
            <w:vAlign w:val="center"/>
          </w:tcPr>
          <w:p w14:paraId="33431A9A">
            <w:pPr>
              <w:widowControl/>
              <w:adjustRightInd w:val="0"/>
              <w:snapToGrid w:val="0"/>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投入的人员为投标单位正式员工，提供姓名、开标日当月或上一月的由投标单位为投入人员缴纳社会保险证明扫描件，否则不予认定加分。</w:t>
            </w:r>
          </w:p>
          <w:p w14:paraId="56C01A19">
            <w:pPr>
              <w:widowControl/>
              <w:adjustRightInd w:val="0"/>
              <w:snapToGrid w:val="0"/>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（1）项目经理具备ITSS IT服务项目经理证书，高级工程师（电子信息类），</w:t>
            </w:r>
            <w:r>
              <w:rPr>
                <w:rFonts w:hint="eastAsia"/>
                <w:color w:val="000000" w:themeColor="text1"/>
                <w:kern w:val="0"/>
                <w:sz w:val="24"/>
                <w:szCs w:val="24"/>
                <w:highlight w:val="none"/>
                <w:lang w:val="en-US" w:eastAsia="zh-CN"/>
                <w14:textFill>
                  <w14:solidFill>
                    <w14:schemeClr w14:val="tx1"/>
                  </w14:solidFill>
                </w14:textFill>
              </w:rPr>
              <w:t>提供上述一个证书</w:t>
            </w:r>
            <w:r>
              <w:rPr>
                <w:rFonts w:hint="eastAsia"/>
                <w:color w:val="000000" w:themeColor="text1"/>
                <w:kern w:val="0"/>
                <w:sz w:val="24"/>
                <w:szCs w:val="24"/>
                <w:highlight w:val="none"/>
                <w14:textFill>
                  <w14:solidFill>
                    <w14:schemeClr w14:val="tx1"/>
                  </w14:solidFill>
                </w14:textFill>
              </w:rPr>
              <w:t>扫描件</w:t>
            </w:r>
            <w:r>
              <w:rPr>
                <w:rFonts w:hint="eastAsia"/>
                <w:color w:val="000000" w:themeColor="text1"/>
                <w:kern w:val="0"/>
                <w:sz w:val="24"/>
                <w:szCs w:val="24"/>
                <w:highlight w:val="none"/>
                <w:lang w:val="en-US" w:eastAsia="zh-CN"/>
                <w14:textFill>
                  <w14:solidFill>
                    <w14:schemeClr w14:val="tx1"/>
                  </w14:solidFill>
                </w14:textFill>
              </w:rPr>
              <w:t>得2分，最多4分，不提供或提供不全不得分；</w:t>
            </w:r>
          </w:p>
          <w:p w14:paraId="14746F0E">
            <w:pPr>
              <w:widowControl/>
              <w:adjustRightInd w:val="0"/>
              <w:snapToGrid w:val="0"/>
              <w:rPr>
                <w:rFonts w:hint="eastAsia"/>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（2）实施与服务团队具备注册信息安全管理人员（CISO）证书、注册信息安全工程师（CISE）证书</w:t>
            </w:r>
            <w:r>
              <w:rPr>
                <w:rFonts w:hint="eastAsia"/>
                <w:color w:val="000000" w:themeColor="text1"/>
                <w:kern w:val="0"/>
                <w:sz w:val="24"/>
                <w:szCs w:val="24"/>
                <w:highlight w:val="none"/>
                <w:lang w:eastAsia="zh-CN"/>
                <w14:textFill>
                  <w14:solidFill>
                    <w14:schemeClr w14:val="tx1"/>
                  </w14:solidFill>
                </w14:textFill>
              </w:rPr>
              <w:t>、</w:t>
            </w:r>
            <w:r>
              <w:rPr>
                <w:rFonts w:hint="eastAsia"/>
                <w:color w:val="000000" w:themeColor="text1"/>
                <w:kern w:val="0"/>
                <w:sz w:val="24"/>
                <w:szCs w:val="24"/>
                <w:highlight w:val="none"/>
                <w:lang w:val="en-US" w:eastAsia="zh-CN"/>
                <w14:textFill>
                  <w14:solidFill>
                    <w14:schemeClr w14:val="tx1"/>
                  </w14:solidFill>
                </w14:textFill>
              </w:rPr>
              <w:t>通信专业技术人员职业资格(中级及以上)；计算机技术与软件专业技术资格证书（信息系统项目管理师）</w:t>
            </w:r>
            <w:r>
              <w:rPr>
                <w:rFonts w:hint="eastAsia"/>
                <w:color w:val="000000" w:themeColor="text1"/>
                <w:kern w:val="0"/>
                <w:sz w:val="24"/>
                <w:szCs w:val="24"/>
                <w:highlight w:val="none"/>
                <w14:textFill>
                  <w14:solidFill>
                    <w14:schemeClr w14:val="tx1"/>
                  </w14:solidFill>
                </w14:textFill>
              </w:rPr>
              <w:t>提供1人的证书扫描件得1分，最多4分</w:t>
            </w:r>
            <w:r>
              <w:rPr>
                <w:rFonts w:hint="eastAsia"/>
                <w:color w:val="000000" w:themeColor="text1"/>
                <w:kern w:val="0"/>
                <w:sz w:val="24"/>
                <w:szCs w:val="24"/>
                <w:highlight w:val="none"/>
                <w:lang w:eastAsia="zh-CN"/>
                <w14:textFill>
                  <w14:solidFill>
                    <w14:schemeClr w14:val="tx1"/>
                  </w14:solidFill>
                </w14:textFill>
              </w:rPr>
              <w:t>。</w:t>
            </w:r>
            <w:r>
              <w:rPr>
                <w:rFonts w:hint="eastAsia"/>
                <w:color w:val="000000" w:themeColor="text1"/>
                <w:kern w:val="0"/>
                <w:sz w:val="24"/>
                <w:szCs w:val="24"/>
                <w:highlight w:val="none"/>
                <w14:textFill>
                  <w14:solidFill>
                    <w14:schemeClr w14:val="tx1"/>
                  </w14:solidFill>
                </w14:textFill>
              </w:rPr>
              <w:t>1人持多证不重复计分</w:t>
            </w:r>
            <w:r>
              <w:rPr>
                <w:rFonts w:hint="eastAsia"/>
                <w:color w:val="000000" w:themeColor="text1"/>
                <w:kern w:val="0"/>
                <w:sz w:val="24"/>
                <w:szCs w:val="24"/>
                <w:highlight w:val="none"/>
                <w:lang w:eastAsia="zh-CN"/>
                <w14:textFill>
                  <w14:solidFill>
                    <w14:schemeClr w14:val="tx1"/>
                  </w14:solidFill>
                </w14:textFill>
              </w:rPr>
              <w:t>，各类证书须由不同人员分别持有。</w:t>
            </w:r>
          </w:p>
        </w:tc>
        <w:tc>
          <w:tcPr>
            <w:tcW w:w="932" w:type="dxa"/>
            <w:shd w:val="clear" w:color="auto" w:fill="auto"/>
            <w:vAlign w:val="center"/>
          </w:tcPr>
          <w:p w14:paraId="769EC60A">
            <w:pPr>
              <w:widowControl/>
              <w:adjustRightInd w:val="0"/>
              <w:snapToGrid w:val="0"/>
              <w:jc w:val="center"/>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8</w:t>
            </w:r>
          </w:p>
        </w:tc>
      </w:tr>
      <w:tr w14:paraId="658E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63" w:type="dxa"/>
            <w:shd w:val="clear" w:color="auto" w:fill="auto"/>
            <w:noWrap/>
            <w:vAlign w:val="center"/>
          </w:tcPr>
          <w:p w14:paraId="4A33387F">
            <w:pPr>
              <w:widowControl/>
              <w:adjustRightInd w:val="0"/>
              <w:snapToGrid w:val="0"/>
              <w:jc w:val="center"/>
              <w:rPr>
                <w:rFonts w:hint="eastAsia" w:eastAsia="宋体"/>
                <w:color w:val="000000" w:themeColor="text1"/>
                <w:kern w:val="0"/>
                <w:sz w:val="24"/>
                <w:szCs w:val="24"/>
                <w:highlight w:val="none"/>
                <w:lang w:eastAsia="zh-CN"/>
                <w14:textFill>
                  <w14:solidFill>
                    <w14:schemeClr w14:val="tx1"/>
                  </w14:solidFill>
                </w14:textFill>
              </w:rPr>
            </w:pPr>
            <w:r>
              <w:rPr>
                <w:rFonts w:hint="eastAsia"/>
                <w:color w:val="000000" w:themeColor="text1"/>
                <w:kern w:val="0"/>
                <w:sz w:val="24"/>
                <w:szCs w:val="24"/>
                <w:highlight w:val="none"/>
                <w:lang w:val="en-US" w:eastAsia="zh-CN"/>
                <w14:textFill>
                  <w14:solidFill>
                    <w14:schemeClr w14:val="tx1"/>
                  </w14:solidFill>
                </w14:textFill>
              </w:rPr>
              <w:t>3</w:t>
            </w:r>
          </w:p>
        </w:tc>
        <w:tc>
          <w:tcPr>
            <w:tcW w:w="1419" w:type="dxa"/>
            <w:shd w:val="clear" w:color="auto" w:fill="auto"/>
            <w:vAlign w:val="center"/>
          </w:tcPr>
          <w:p w14:paraId="4B8CAC22">
            <w:pPr>
              <w:widowControl/>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产品参数证明评价</w:t>
            </w:r>
          </w:p>
        </w:tc>
        <w:tc>
          <w:tcPr>
            <w:tcW w:w="7311" w:type="dxa"/>
            <w:shd w:val="clear" w:color="auto" w:fill="auto"/>
            <w:vAlign w:val="center"/>
          </w:tcPr>
          <w:p w14:paraId="2B3060FE">
            <w:pPr>
              <w:snapToGrid w:val="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提供所投产品的技术支撑材料扫描件，上述技术支撑材料能证明所投产品标注“●”的参数满足本文件要求，每证明1条得2分，最多</w:t>
            </w:r>
            <w:r>
              <w:rPr>
                <w:rFonts w:hint="eastAsia"/>
                <w:bCs/>
                <w:color w:val="000000" w:themeColor="text1"/>
                <w:sz w:val="24"/>
                <w:highlight w:val="none"/>
                <w:lang w:val="en-US" w:eastAsia="zh-CN"/>
                <w14:textFill>
                  <w14:solidFill>
                    <w14:schemeClr w14:val="tx1"/>
                  </w14:solidFill>
                </w14:textFill>
              </w:rPr>
              <w:t>8</w:t>
            </w:r>
            <w:r>
              <w:rPr>
                <w:rFonts w:hint="eastAsia"/>
                <w:bCs/>
                <w:color w:val="000000" w:themeColor="text1"/>
                <w:sz w:val="24"/>
                <w:highlight w:val="none"/>
                <w14:textFill>
                  <w14:solidFill>
                    <w14:schemeClr w14:val="tx1"/>
                  </w14:solidFill>
                </w14:textFill>
              </w:rPr>
              <w:t>分。</w:t>
            </w:r>
          </w:p>
          <w:p w14:paraId="419F7BED">
            <w:pPr>
              <w:snapToGrid w:val="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技术支撑材料是指具有CMA标识的检测/检验/试验/测试报告，或加盖所投产品制造商公章的技术证明材料。</w:t>
            </w:r>
          </w:p>
          <w:p w14:paraId="0962A321">
            <w:pPr>
              <w:widowControl/>
              <w:adjustRightInd w:val="0"/>
              <w:snapToGrid w:val="0"/>
              <w:rPr>
                <w:color w:val="000000" w:themeColor="text1"/>
                <w:kern w:val="0"/>
                <w:sz w:val="24"/>
                <w:szCs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若上述技术支撑材料证明所投产品不能满足本文件中</w:t>
            </w:r>
            <w:r>
              <w:rPr>
                <w:rFonts w:hint="eastAsia"/>
                <w:color w:val="000000" w:themeColor="text1"/>
                <w:kern w:val="0"/>
                <w:sz w:val="24"/>
                <w:szCs w:val="24"/>
                <w:highlight w:val="none"/>
                <w14:textFill>
                  <w14:solidFill>
                    <w14:schemeClr w14:val="tx1"/>
                  </w14:solidFill>
                </w14:textFill>
              </w:rPr>
              <w:t>“★”</w:t>
            </w:r>
            <w:r>
              <w:rPr>
                <w:bCs/>
                <w:color w:val="000000" w:themeColor="text1"/>
                <w:sz w:val="24"/>
                <w:highlight w:val="none"/>
                <w14:textFill>
                  <w14:solidFill>
                    <w14:schemeClr w14:val="tx1"/>
                  </w14:solidFill>
                </w14:textFill>
              </w:rPr>
              <w:t>技术要求</w:t>
            </w:r>
            <w:r>
              <w:rPr>
                <w:rFonts w:hint="eastAsia"/>
                <w:bCs/>
                <w:color w:val="000000" w:themeColor="text1"/>
                <w:sz w:val="24"/>
                <w:highlight w:val="none"/>
                <w14:textFill>
                  <w14:solidFill>
                    <w14:schemeClr w14:val="tx1"/>
                  </w14:solidFill>
                </w14:textFill>
              </w:rPr>
              <w:t>的，视为无效投标，未证明所投产品满足本文件要求的或未提供上述技术支撑材料的，不得分。</w:t>
            </w:r>
          </w:p>
        </w:tc>
        <w:tc>
          <w:tcPr>
            <w:tcW w:w="932" w:type="dxa"/>
            <w:shd w:val="clear" w:color="auto" w:fill="auto"/>
            <w:vAlign w:val="center"/>
          </w:tcPr>
          <w:p w14:paraId="24BAE444">
            <w:pPr>
              <w:widowControl/>
              <w:adjustRightInd w:val="0"/>
              <w:snapToGrid w:val="0"/>
              <w:jc w:val="center"/>
              <w:rPr>
                <w:rFonts w:hint="eastAsia" w:eastAsia="宋体"/>
                <w:color w:val="000000" w:themeColor="text1"/>
                <w:kern w:val="0"/>
                <w:sz w:val="24"/>
                <w:szCs w:val="24"/>
                <w:highlight w:val="none"/>
                <w:lang w:eastAsia="zh-CN"/>
                <w14:textFill>
                  <w14:solidFill>
                    <w14:schemeClr w14:val="tx1"/>
                  </w14:solidFill>
                </w14:textFill>
              </w:rPr>
            </w:pPr>
            <w:r>
              <w:rPr>
                <w:rFonts w:hint="eastAsia"/>
                <w:color w:val="000000" w:themeColor="text1"/>
                <w:kern w:val="0"/>
                <w:sz w:val="24"/>
                <w:szCs w:val="24"/>
                <w:highlight w:val="none"/>
                <w:lang w:val="en-US" w:eastAsia="zh-CN"/>
                <w14:textFill>
                  <w14:solidFill>
                    <w14:schemeClr w14:val="tx1"/>
                  </w14:solidFill>
                </w14:textFill>
              </w:rPr>
              <w:t>8</w:t>
            </w:r>
          </w:p>
        </w:tc>
      </w:tr>
      <w:tr w14:paraId="789A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663" w:type="dxa"/>
            <w:shd w:val="clear" w:color="auto" w:fill="auto"/>
            <w:noWrap/>
            <w:vAlign w:val="center"/>
          </w:tcPr>
          <w:p w14:paraId="0952AB0E">
            <w:pPr>
              <w:widowControl/>
              <w:adjustRightInd w:val="0"/>
              <w:snapToGrid w:val="0"/>
              <w:jc w:val="center"/>
              <w:rPr>
                <w:rFonts w:hint="eastAsia" w:eastAsia="宋体"/>
                <w:color w:val="000000" w:themeColor="text1"/>
                <w:kern w:val="0"/>
                <w:sz w:val="24"/>
                <w:szCs w:val="24"/>
                <w:highlight w:val="none"/>
                <w:lang w:eastAsia="zh-CN"/>
                <w14:textFill>
                  <w14:solidFill>
                    <w14:schemeClr w14:val="tx1"/>
                  </w14:solidFill>
                </w14:textFill>
              </w:rPr>
            </w:pPr>
            <w:r>
              <w:rPr>
                <w:rFonts w:hint="eastAsia"/>
                <w:color w:val="000000" w:themeColor="text1"/>
                <w:kern w:val="0"/>
                <w:sz w:val="24"/>
                <w:szCs w:val="24"/>
                <w:highlight w:val="none"/>
                <w:lang w:val="en-US" w:eastAsia="zh-CN"/>
                <w14:textFill>
                  <w14:solidFill>
                    <w14:schemeClr w14:val="tx1"/>
                  </w14:solidFill>
                </w14:textFill>
              </w:rPr>
              <w:t>4</w:t>
            </w:r>
          </w:p>
        </w:tc>
        <w:tc>
          <w:tcPr>
            <w:tcW w:w="1419" w:type="dxa"/>
            <w:shd w:val="clear" w:color="auto" w:fill="auto"/>
            <w:vAlign w:val="center"/>
          </w:tcPr>
          <w:p w14:paraId="4B94044E">
            <w:pPr>
              <w:widowControl/>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投标人承诺评价</w:t>
            </w:r>
          </w:p>
        </w:tc>
        <w:tc>
          <w:tcPr>
            <w:tcW w:w="7311" w:type="dxa"/>
            <w:shd w:val="clear" w:color="auto" w:fill="auto"/>
            <w:vAlign w:val="center"/>
          </w:tcPr>
          <w:p w14:paraId="1888533B">
            <w:pPr>
              <w:widowControl/>
              <w:adjustRightInd w:val="0"/>
              <w:snapToGrid w:val="0"/>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承诺完全满足招标文件“报价要求”、“时间地点要求”、“付款方式要求”和技术要求的：</w:t>
            </w:r>
            <w:r>
              <w:rPr>
                <w:rFonts w:hint="eastAsia"/>
                <w:color w:val="000000" w:themeColor="text1"/>
                <w:kern w:val="0"/>
                <w:sz w:val="24"/>
                <w:szCs w:val="24"/>
                <w:highlight w:val="none"/>
                <w:lang w:val="en-US" w:eastAsia="zh-CN"/>
                <w14:textFill>
                  <w14:solidFill>
                    <w14:schemeClr w14:val="tx1"/>
                  </w14:solidFill>
                </w14:textFill>
              </w:rPr>
              <w:t>6</w:t>
            </w:r>
            <w:r>
              <w:rPr>
                <w:rFonts w:hint="eastAsia"/>
                <w:color w:val="000000" w:themeColor="text1"/>
                <w:kern w:val="0"/>
                <w:sz w:val="24"/>
                <w:szCs w:val="24"/>
                <w:highlight w:val="none"/>
                <w14:textFill>
                  <w14:solidFill>
                    <w14:schemeClr w14:val="tx1"/>
                  </w14:solidFill>
                </w14:textFill>
              </w:rPr>
              <w:t>分，其他0分。</w:t>
            </w:r>
          </w:p>
        </w:tc>
        <w:tc>
          <w:tcPr>
            <w:tcW w:w="932" w:type="dxa"/>
            <w:shd w:val="clear" w:color="auto" w:fill="auto"/>
            <w:vAlign w:val="center"/>
          </w:tcPr>
          <w:p w14:paraId="2940B08C">
            <w:pPr>
              <w:widowControl/>
              <w:adjustRightInd w:val="0"/>
              <w:snapToGrid w:val="0"/>
              <w:jc w:val="center"/>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lang w:val="en-US" w:eastAsia="zh-CN"/>
                <w14:textFill>
                  <w14:solidFill>
                    <w14:schemeClr w14:val="tx1"/>
                  </w14:solidFill>
                </w14:textFill>
              </w:rPr>
              <w:t>6</w:t>
            </w:r>
          </w:p>
        </w:tc>
      </w:tr>
      <w:tr w14:paraId="2867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noWrap/>
            <w:vAlign w:val="center"/>
          </w:tcPr>
          <w:p w14:paraId="762A87D4">
            <w:pPr>
              <w:widowControl/>
              <w:adjustRightInd w:val="0"/>
              <w:snapToGrid w:val="0"/>
              <w:jc w:val="center"/>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第三部分 主观分（</w:t>
            </w:r>
            <w:r>
              <w:rPr>
                <w:rFonts w:hint="eastAsia"/>
                <w:color w:val="000000" w:themeColor="text1"/>
                <w:kern w:val="0"/>
                <w:sz w:val="24"/>
                <w:szCs w:val="24"/>
                <w:highlight w:val="none"/>
                <w14:textFill>
                  <w14:solidFill>
                    <w14:schemeClr w14:val="tx1"/>
                  </w14:solidFill>
                </w14:textFill>
              </w:rPr>
              <w:t>4</w:t>
            </w:r>
            <w:r>
              <w:rPr>
                <w:rFonts w:hint="eastAsia"/>
                <w:color w:val="000000" w:themeColor="text1"/>
                <w:kern w:val="0"/>
                <w:sz w:val="24"/>
                <w:szCs w:val="24"/>
                <w:highlight w:val="none"/>
                <w:lang w:val="en-US" w:eastAsia="zh-CN"/>
                <w14:textFill>
                  <w14:solidFill>
                    <w14:schemeClr w14:val="tx1"/>
                  </w14:solidFill>
                </w14:textFill>
              </w:rPr>
              <w:t>8</w:t>
            </w:r>
            <w:r>
              <w:rPr>
                <w:color w:val="000000" w:themeColor="text1"/>
                <w:kern w:val="0"/>
                <w:sz w:val="24"/>
                <w:szCs w:val="24"/>
                <w:highlight w:val="none"/>
                <w14:textFill>
                  <w14:solidFill>
                    <w14:schemeClr w14:val="tx1"/>
                  </w14:solidFill>
                </w14:textFill>
              </w:rPr>
              <w:t>分）</w:t>
            </w:r>
          </w:p>
        </w:tc>
        <w:tc>
          <w:tcPr>
            <w:tcW w:w="932" w:type="dxa"/>
            <w:shd w:val="clear" w:color="auto" w:fill="auto"/>
            <w:vAlign w:val="center"/>
          </w:tcPr>
          <w:p w14:paraId="5042F78C">
            <w:pPr>
              <w:widowControl/>
              <w:adjustRightInd w:val="0"/>
              <w:snapToGrid w:val="0"/>
              <w:jc w:val="center"/>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分值</w:t>
            </w:r>
          </w:p>
        </w:tc>
      </w:tr>
      <w:tr w14:paraId="17E4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044B1EE2">
            <w:pPr>
              <w:widowControl/>
              <w:adjustRightInd w:val="0"/>
              <w:snapToGrid w:val="0"/>
              <w:jc w:val="center"/>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1</w:t>
            </w:r>
          </w:p>
        </w:tc>
        <w:tc>
          <w:tcPr>
            <w:tcW w:w="1419" w:type="dxa"/>
            <w:shd w:val="clear" w:color="auto" w:fill="auto"/>
            <w:vAlign w:val="center"/>
          </w:tcPr>
          <w:p w14:paraId="23891222">
            <w:pPr>
              <w:adjustRightInd w:val="0"/>
              <w:snapToGrid w:val="0"/>
              <w:jc w:val="center"/>
              <w:rPr>
                <w:color w:val="000000" w:themeColor="text1"/>
                <w:kern w:val="0"/>
                <w:sz w:val="24"/>
                <w:szCs w:val="24"/>
                <w:highlight w:val="none"/>
                <w14:textFill>
                  <w14:solidFill>
                    <w14:schemeClr w14:val="tx1"/>
                  </w14:solidFill>
                </w14:textFill>
              </w:rPr>
            </w:pPr>
            <w:r>
              <w:rPr>
                <w:rFonts w:hint="eastAsia" w:cs="宋体"/>
                <w:color w:val="000000" w:themeColor="text1"/>
                <w:sz w:val="24"/>
                <w:szCs w:val="24"/>
                <w:highlight w:val="none"/>
                <w:lang w:val="zh-CN"/>
                <w14:textFill>
                  <w14:solidFill>
                    <w14:schemeClr w14:val="tx1"/>
                  </w14:solidFill>
                </w14:textFill>
              </w:rPr>
              <w:t>对本项目任务、需求的理解程度评价</w:t>
            </w:r>
          </w:p>
        </w:tc>
        <w:tc>
          <w:tcPr>
            <w:tcW w:w="7311" w:type="dxa"/>
            <w:shd w:val="clear" w:color="auto" w:fill="auto"/>
            <w:vAlign w:val="center"/>
          </w:tcPr>
          <w:p w14:paraId="5FCDE3B5">
            <w:pPr>
              <w:widowControl/>
              <w:adjustRightInd w:val="0"/>
              <w:snapToGrid w:val="0"/>
              <w:rPr>
                <w:rFonts w:cs="宋体"/>
                <w:color w:val="000000" w:themeColor="text1"/>
                <w:sz w:val="24"/>
                <w:szCs w:val="24"/>
                <w:highlight w:val="none"/>
                <w:lang w:val="zh-CN"/>
                <w14:textFill>
                  <w14:solidFill>
                    <w14:schemeClr w14:val="tx1"/>
                  </w14:solidFill>
                </w14:textFill>
              </w:rPr>
            </w:pPr>
            <w:r>
              <w:rPr>
                <w:rFonts w:hint="eastAsia" w:cs="宋体"/>
                <w:color w:val="000000" w:themeColor="text1"/>
                <w:sz w:val="24"/>
                <w:szCs w:val="24"/>
                <w:highlight w:val="none"/>
                <w:lang w:val="zh-CN"/>
                <w14:textFill>
                  <w14:solidFill>
                    <w14:schemeClr w14:val="tx1"/>
                  </w14:solidFill>
                </w14:textFill>
              </w:rPr>
              <w:t>至少包含用户系统现状、网络性能要求、</w:t>
            </w:r>
            <w:r>
              <w:rPr>
                <w:rFonts w:hint="eastAsia" w:cs="宋体"/>
                <w:color w:val="000000" w:themeColor="text1"/>
                <w:sz w:val="24"/>
                <w:szCs w:val="24"/>
                <w:highlight w:val="none"/>
                <w14:textFill>
                  <w14:solidFill>
                    <w14:schemeClr w14:val="tx1"/>
                  </w14:solidFill>
                </w14:textFill>
              </w:rPr>
              <w:t>安全防护要求、</w:t>
            </w:r>
            <w:r>
              <w:rPr>
                <w:rFonts w:hint="eastAsia" w:cs="宋体"/>
                <w:color w:val="000000" w:themeColor="text1"/>
                <w:sz w:val="24"/>
                <w:szCs w:val="24"/>
                <w:highlight w:val="none"/>
                <w:lang w:val="zh-CN"/>
                <w14:textFill>
                  <w14:solidFill>
                    <w14:schemeClr w14:val="tx1"/>
                  </w14:solidFill>
                </w14:textFill>
              </w:rPr>
              <w:t>实施要求等内容</w:t>
            </w:r>
          </w:p>
          <w:p w14:paraId="4979816C">
            <w:pPr>
              <w:widowControl/>
              <w:adjustRightInd w:val="0"/>
              <w:snapToGrid w:val="0"/>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满足本文件要求，无瑕疵得满分；</w:t>
            </w:r>
          </w:p>
          <w:p w14:paraId="67049DAB">
            <w:pPr>
              <w:adjustRightInd w:val="0"/>
              <w:snapToGrid w:val="0"/>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方案内容每出现1处瑕疵减</w:t>
            </w:r>
            <w:r>
              <w:rPr>
                <w:rFonts w:hint="eastAsia"/>
                <w:color w:val="000000" w:themeColor="text1"/>
                <w:kern w:val="0"/>
                <w:sz w:val="24"/>
                <w:szCs w:val="24"/>
                <w:highlight w:val="none"/>
                <w:lang w:val="en-US" w:eastAsia="zh-CN"/>
                <w14:textFill>
                  <w14:solidFill>
                    <w14:schemeClr w14:val="tx1"/>
                  </w14:solidFill>
                </w14:textFill>
              </w:rPr>
              <w:t>2</w:t>
            </w:r>
            <w:r>
              <w:rPr>
                <w:rFonts w:hint="eastAsia"/>
                <w:color w:val="000000" w:themeColor="text1"/>
                <w:kern w:val="0"/>
                <w:sz w:val="24"/>
                <w:szCs w:val="24"/>
                <w:highlight w:val="none"/>
                <w14:textFill>
                  <w14:solidFill>
                    <w14:schemeClr w14:val="tx1"/>
                  </w14:solidFill>
                </w14:textFill>
              </w:rPr>
              <w:t>分，最低0分。</w:t>
            </w:r>
          </w:p>
        </w:tc>
        <w:tc>
          <w:tcPr>
            <w:tcW w:w="932" w:type="dxa"/>
            <w:shd w:val="clear" w:color="auto" w:fill="auto"/>
            <w:vAlign w:val="center"/>
          </w:tcPr>
          <w:p w14:paraId="50EBA6B1">
            <w:pPr>
              <w:widowControl/>
              <w:adjustRightInd w:val="0"/>
              <w:snapToGrid w:val="0"/>
              <w:jc w:val="center"/>
              <w:rPr>
                <w:rFonts w:hint="default" w:eastAsia="宋体"/>
                <w:color w:val="000000" w:themeColor="text1"/>
                <w:kern w:val="0"/>
                <w:sz w:val="24"/>
                <w:szCs w:val="24"/>
                <w:highlight w:val="none"/>
                <w:lang w:val="en-US" w:eastAsia="zh-CN"/>
                <w14:textFill>
                  <w14:solidFill>
                    <w14:schemeClr w14:val="tx1"/>
                  </w14:solidFill>
                </w14:textFill>
              </w:rPr>
            </w:pPr>
            <w:r>
              <w:rPr>
                <w:rFonts w:hint="eastAsia"/>
                <w:color w:val="000000" w:themeColor="text1"/>
                <w:kern w:val="0"/>
                <w:sz w:val="24"/>
                <w:szCs w:val="24"/>
                <w:highlight w:val="none"/>
                <w:lang w:val="en-US" w:eastAsia="zh-CN"/>
                <w14:textFill>
                  <w14:solidFill>
                    <w14:schemeClr w14:val="tx1"/>
                  </w14:solidFill>
                </w14:textFill>
              </w:rPr>
              <w:t>10</w:t>
            </w:r>
          </w:p>
        </w:tc>
      </w:tr>
      <w:tr w14:paraId="702D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D22496A">
            <w:pPr>
              <w:widowControl/>
              <w:adjustRightInd w:val="0"/>
              <w:snapToGrid w:val="0"/>
              <w:jc w:val="center"/>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2</w:t>
            </w:r>
          </w:p>
        </w:tc>
        <w:tc>
          <w:tcPr>
            <w:tcW w:w="1419" w:type="dxa"/>
            <w:shd w:val="clear" w:color="auto" w:fill="auto"/>
            <w:vAlign w:val="center"/>
          </w:tcPr>
          <w:p w14:paraId="161A5E40">
            <w:pPr>
              <w:widowControl/>
              <w:adjustRightInd w:val="0"/>
              <w:snapToGrid w:val="0"/>
              <w:jc w:val="center"/>
              <w:rPr>
                <w:color w:val="000000" w:themeColor="text1"/>
                <w:kern w:val="0"/>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线路质量保障方案评价</w:t>
            </w:r>
          </w:p>
        </w:tc>
        <w:tc>
          <w:tcPr>
            <w:tcW w:w="7311" w:type="dxa"/>
            <w:shd w:val="clear" w:color="auto" w:fill="auto"/>
            <w:vAlign w:val="center"/>
          </w:tcPr>
          <w:p w14:paraId="58B43E7D">
            <w:pPr>
              <w:adjustRightInd w:val="0"/>
              <w:snapToGrid w:val="0"/>
              <w:rPr>
                <w:rFonts w:cs="宋体"/>
                <w:color w:val="000000" w:themeColor="text1"/>
                <w:sz w:val="24"/>
                <w:szCs w:val="24"/>
                <w:highlight w:val="none"/>
                <w:lang w:val="zh-CN"/>
                <w14:textFill>
                  <w14:solidFill>
                    <w14:schemeClr w14:val="tx1"/>
                  </w14:solidFill>
                </w14:textFill>
              </w:rPr>
            </w:pPr>
            <w:r>
              <w:rPr>
                <w:rFonts w:hint="eastAsia" w:cs="宋体"/>
                <w:color w:val="000000" w:themeColor="text1"/>
                <w:sz w:val="24"/>
                <w:szCs w:val="24"/>
                <w:highlight w:val="none"/>
                <w:lang w:val="zh-CN"/>
                <w14:textFill>
                  <w14:solidFill>
                    <w14:schemeClr w14:val="tx1"/>
                  </w14:solidFill>
                </w14:textFill>
              </w:rPr>
              <w:t>至少包含保证带宽速率、数据连接畅通不丢包的解决方案</w:t>
            </w:r>
          </w:p>
          <w:p w14:paraId="276ED47B">
            <w:pPr>
              <w:widowControl/>
              <w:adjustRightInd w:val="0"/>
              <w:snapToGrid w:val="0"/>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满足本文件要求，无瑕疵得满分；</w:t>
            </w:r>
          </w:p>
          <w:p w14:paraId="47C58E43">
            <w:pPr>
              <w:adjustRightInd w:val="0"/>
              <w:snapToGrid w:val="0"/>
              <w:rPr>
                <w:rFonts w:cs="宋体"/>
                <w:color w:val="000000" w:themeColor="text1"/>
                <w:sz w:val="24"/>
                <w:szCs w:val="24"/>
                <w:highlight w:val="none"/>
                <w:lang w:val="zh-CN"/>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方案内容每出现1处瑕疵减</w:t>
            </w:r>
            <w:r>
              <w:rPr>
                <w:rFonts w:hint="eastAsia"/>
                <w:color w:val="000000" w:themeColor="text1"/>
                <w:kern w:val="0"/>
                <w:sz w:val="24"/>
                <w:szCs w:val="24"/>
                <w:highlight w:val="none"/>
                <w:lang w:val="en-US" w:eastAsia="zh-CN"/>
                <w14:textFill>
                  <w14:solidFill>
                    <w14:schemeClr w14:val="tx1"/>
                  </w14:solidFill>
                </w14:textFill>
              </w:rPr>
              <w:t>2</w:t>
            </w:r>
            <w:r>
              <w:rPr>
                <w:rFonts w:hint="eastAsia"/>
                <w:color w:val="000000" w:themeColor="text1"/>
                <w:kern w:val="0"/>
                <w:sz w:val="24"/>
                <w:szCs w:val="24"/>
                <w:highlight w:val="none"/>
                <w14:textFill>
                  <w14:solidFill>
                    <w14:schemeClr w14:val="tx1"/>
                  </w14:solidFill>
                </w14:textFill>
              </w:rPr>
              <w:t>分，最低0分。</w:t>
            </w:r>
          </w:p>
        </w:tc>
        <w:tc>
          <w:tcPr>
            <w:tcW w:w="932" w:type="dxa"/>
            <w:shd w:val="clear" w:color="auto" w:fill="auto"/>
            <w:vAlign w:val="center"/>
          </w:tcPr>
          <w:p w14:paraId="4F1D43EA">
            <w:pPr>
              <w:widowControl/>
              <w:adjustRightInd w:val="0"/>
              <w:snapToGrid w:val="0"/>
              <w:jc w:val="center"/>
              <w:rPr>
                <w:rFonts w:hint="default" w:eastAsia="宋体"/>
                <w:color w:val="000000" w:themeColor="text1"/>
                <w:kern w:val="0"/>
                <w:sz w:val="24"/>
                <w:szCs w:val="24"/>
                <w:highlight w:val="none"/>
                <w:lang w:val="en-US" w:eastAsia="zh-CN"/>
                <w14:textFill>
                  <w14:solidFill>
                    <w14:schemeClr w14:val="tx1"/>
                  </w14:solidFill>
                </w14:textFill>
              </w:rPr>
            </w:pPr>
            <w:r>
              <w:rPr>
                <w:rFonts w:hint="eastAsia"/>
                <w:color w:val="000000" w:themeColor="text1"/>
                <w:kern w:val="0"/>
                <w:sz w:val="24"/>
                <w:szCs w:val="24"/>
                <w:highlight w:val="none"/>
                <w:lang w:val="en-US" w:eastAsia="zh-CN"/>
                <w14:textFill>
                  <w14:solidFill>
                    <w14:schemeClr w14:val="tx1"/>
                  </w14:solidFill>
                </w14:textFill>
              </w:rPr>
              <w:t>10</w:t>
            </w:r>
          </w:p>
        </w:tc>
      </w:tr>
      <w:tr w14:paraId="378F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A204D44">
            <w:pPr>
              <w:widowControl/>
              <w:adjustRightInd w:val="0"/>
              <w:snapToGrid w:val="0"/>
              <w:jc w:val="center"/>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3</w:t>
            </w:r>
          </w:p>
        </w:tc>
        <w:tc>
          <w:tcPr>
            <w:tcW w:w="1419" w:type="dxa"/>
            <w:shd w:val="clear" w:color="auto" w:fill="auto"/>
            <w:vAlign w:val="center"/>
          </w:tcPr>
          <w:p w14:paraId="6AFDDFCE">
            <w:pPr>
              <w:widowControl/>
              <w:adjustRightInd w:val="0"/>
              <w:snapToGrid w:val="0"/>
              <w:jc w:val="center"/>
              <w:rPr>
                <w:color w:val="000000" w:themeColor="text1"/>
                <w:kern w:val="0"/>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运维服务方案评价</w:t>
            </w:r>
          </w:p>
        </w:tc>
        <w:tc>
          <w:tcPr>
            <w:tcW w:w="7311" w:type="dxa"/>
            <w:shd w:val="clear" w:color="auto" w:fill="auto"/>
            <w:vAlign w:val="center"/>
          </w:tcPr>
          <w:p w14:paraId="7F2C6C6A">
            <w:pPr>
              <w:adjustRightInd w:val="0"/>
              <w:snapToGrid w:val="0"/>
              <w:rPr>
                <w:rFonts w:cs="宋体"/>
                <w:color w:val="000000" w:themeColor="text1"/>
                <w:sz w:val="24"/>
                <w:szCs w:val="24"/>
                <w:highlight w:val="none"/>
                <w:lang w:val="zh-CN"/>
                <w14:textFill>
                  <w14:solidFill>
                    <w14:schemeClr w14:val="tx1"/>
                  </w14:solidFill>
                </w14:textFill>
              </w:rPr>
            </w:pPr>
            <w:r>
              <w:rPr>
                <w:rFonts w:hint="eastAsia" w:cs="宋体"/>
                <w:color w:val="000000" w:themeColor="text1"/>
                <w:sz w:val="24"/>
                <w:szCs w:val="24"/>
                <w:highlight w:val="none"/>
                <w:lang w:val="zh-CN"/>
                <w14:textFill>
                  <w14:solidFill>
                    <w14:schemeClr w14:val="tx1"/>
                  </w14:solidFill>
                </w14:textFill>
              </w:rPr>
              <w:t>至少包含运维管理服务人员资质，运维能力、运维经验、运维流程等方面</w:t>
            </w:r>
          </w:p>
          <w:p w14:paraId="2E307AC9">
            <w:pPr>
              <w:widowControl/>
              <w:adjustRightInd w:val="0"/>
              <w:snapToGrid w:val="0"/>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满足本文件要求，无瑕疵得满分；</w:t>
            </w:r>
          </w:p>
          <w:p w14:paraId="500780DE">
            <w:pPr>
              <w:adjustRightInd w:val="0"/>
              <w:snapToGrid w:val="0"/>
              <w:rPr>
                <w:rFonts w:cs="宋体"/>
                <w:color w:val="000000" w:themeColor="text1"/>
                <w:sz w:val="24"/>
                <w:szCs w:val="24"/>
                <w:highlight w:val="none"/>
                <w:lang w:val="zh-CN"/>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方案内容每出现1处瑕疵减</w:t>
            </w:r>
            <w:r>
              <w:rPr>
                <w:rFonts w:hint="eastAsia"/>
                <w:color w:val="000000" w:themeColor="text1"/>
                <w:kern w:val="0"/>
                <w:sz w:val="24"/>
                <w:szCs w:val="24"/>
                <w:highlight w:val="none"/>
                <w:lang w:val="en-US" w:eastAsia="zh-CN"/>
                <w14:textFill>
                  <w14:solidFill>
                    <w14:schemeClr w14:val="tx1"/>
                  </w14:solidFill>
                </w14:textFill>
              </w:rPr>
              <w:t>2</w:t>
            </w:r>
            <w:r>
              <w:rPr>
                <w:rFonts w:hint="eastAsia"/>
                <w:color w:val="000000" w:themeColor="text1"/>
                <w:kern w:val="0"/>
                <w:sz w:val="24"/>
                <w:szCs w:val="24"/>
                <w:highlight w:val="none"/>
                <w14:textFill>
                  <w14:solidFill>
                    <w14:schemeClr w14:val="tx1"/>
                  </w14:solidFill>
                </w14:textFill>
              </w:rPr>
              <w:t>分，最低0分。</w:t>
            </w:r>
          </w:p>
        </w:tc>
        <w:tc>
          <w:tcPr>
            <w:tcW w:w="932" w:type="dxa"/>
            <w:shd w:val="clear" w:color="auto" w:fill="auto"/>
            <w:vAlign w:val="center"/>
          </w:tcPr>
          <w:p w14:paraId="3D9D6F05">
            <w:pPr>
              <w:widowControl/>
              <w:adjustRightInd w:val="0"/>
              <w:snapToGrid w:val="0"/>
              <w:jc w:val="center"/>
              <w:rPr>
                <w:rFonts w:hint="default" w:eastAsia="宋体"/>
                <w:color w:val="000000" w:themeColor="text1"/>
                <w:kern w:val="0"/>
                <w:sz w:val="24"/>
                <w:szCs w:val="24"/>
                <w:highlight w:val="none"/>
                <w:lang w:val="en-US" w:eastAsia="zh-CN"/>
                <w14:textFill>
                  <w14:solidFill>
                    <w14:schemeClr w14:val="tx1"/>
                  </w14:solidFill>
                </w14:textFill>
              </w:rPr>
            </w:pPr>
            <w:r>
              <w:rPr>
                <w:rFonts w:hint="eastAsia"/>
                <w:color w:val="000000" w:themeColor="text1"/>
                <w:kern w:val="0"/>
                <w:sz w:val="24"/>
                <w:szCs w:val="24"/>
                <w:highlight w:val="none"/>
                <w:lang w:val="en-US" w:eastAsia="zh-CN"/>
                <w14:textFill>
                  <w14:solidFill>
                    <w14:schemeClr w14:val="tx1"/>
                  </w14:solidFill>
                </w14:textFill>
              </w:rPr>
              <w:t>10</w:t>
            </w:r>
          </w:p>
        </w:tc>
      </w:tr>
      <w:tr w14:paraId="5F5C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2296B46">
            <w:pPr>
              <w:widowControl/>
              <w:adjustRightInd w:val="0"/>
              <w:snapToGrid w:val="0"/>
              <w:jc w:val="center"/>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4</w:t>
            </w:r>
          </w:p>
        </w:tc>
        <w:tc>
          <w:tcPr>
            <w:tcW w:w="1419" w:type="dxa"/>
            <w:shd w:val="clear" w:color="auto" w:fill="auto"/>
            <w:vAlign w:val="center"/>
          </w:tcPr>
          <w:p w14:paraId="5E1C00A4">
            <w:pPr>
              <w:widowControl/>
              <w:adjustRightInd w:val="0"/>
              <w:snapToGrid w:val="0"/>
              <w:jc w:val="center"/>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应急预案评价</w:t>
            </w:r>
          </w:p>
        </w:tc>
        <w:tc>
          <w:tcPr>
            <w:tcW w:w="7311" w:type="dxa"/>
            <w:shd w:val="clear" w:color="auto" w:fill="auto"/>
            <w:vAlign w:val="center"/>
          </w:tcPr>
          <w:p w14:paraId="73C3E22D">
            <w:pPr>
              <w:widowControl/>
              <w:adjustRightInd w:val="0"/>
              <w:snapToGrid w:val="0"/>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至少包含当出现不可预知紧急情况时（例如极端天气、线路物理损坏、链路接连不畅，安全服务异常），如何保证服务正常运转或最大限度地缩短异常时间等措施。</w:t>
            </w:r>
          </w:p>
          <w:p w14:paraId="7D989853">
            <w:pPr>
              <w:widowControl/>
              <w:adjustRightInd w:val="0"/>
              <w:snapToGrid w:val="0"/>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满足本文件要求，无瑕疵得满分；</w:t>
            </w:r>
          </w:p>
          <w:p w14:paraId="1CA3FFA4">
            <w:pPr>
              <w:adjustRightInd w:val="0"/>
              <w:snapToGrid w:val="0"/>
              <w:rPr>
                <w:rFonts w:cs="宋体"/>
                <w:color w:val="000000" w:themeColor="text1"/>
                <w:sz w:val="24"/>
                <w:szCs w:val="24"/>
                <w:highlight w:val="none"/>
                <w:lang w:val="zh-CN"/>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方案内容每出现1处瑕疵减</w:t>
            </w:r>
            <w:r>
              <w:rPr>
                <w:rFonts w:hint="eastAsia"/>
                <w:color w:val="000000" w:themeColor="text1"/>
                <w:kern w:val="0"/>
                <w:sz w:val="24"/>
                <w:szCs w:val="24"/>
                <w:highlight w:val="none"/>
                <w:lang w:val="en-US" w:eastAsia="zh-CN"/>
                <w14:textFill>
                  <w14:solidFill>
                    <w14:schemeClr w14:val="tx1"/>
                  </w14:solidFill>
                </w14:textFill>
              </w:rPr>
              <w:t>2</w:t>
            </w:r>
            <w:r>
              <w:rPr>
                <w:rFonts w:hint="eastAsia"/>
                <w:color w:val="000000" w:themeColor="text1"/>
                <w:kern w:val="0"/>
                <w:sz w:val="24"/>
                <w:szCs w:val="24"/>
                <w:highlight w:val="none"/>
                <w14:textFill>
                  <w14:solidFill>
                    <w14:schemeClr w14:val="tx1"/>
                  </w14:solidFill>
                </w14:textFill>
              </w:rPr>
              <w:t>分，最低0分。</w:t>
            </w:r>
          </w:p>
        </w:tc>
        <w:tc>
          <w:tcPr>
            <w:tcW w:w="932" w:type="dxa"/>
            <w:shd w:val="clear" w:color="auto" w:fill="auto"/>
            <w:vAlign w:val="center"/>
          </w:tcPr>
          <w:p w14:paraId="3ED111D5">
            <w:pPr>
              <w:widowControl/>
              <w:adjustRightInd w:val="0"/>
              <w:snapToGrid w:val="0"/>
              <w:jc w:val="center"/>
              <w:rPr>
                <w:rFonts w:hint="default" w:eastAsia="宋体"/>
                <w:color w:val="000000" w:themeColor="text1"/>
                <w:kern w:val="0"/>
                <w:sz w:val="24"/>
                <w:szCs w:val="24"/>
                <w:highlight w:val="none"/>
                <w:lang w:val="en-US" w:eastAsia="zh-CN"/>
                <w14:textFill>
                  <w14:solidFill>
                    <w14:schemeClr w14:val="tx1"/>
                  </w14:solidFill>
                </w14:textFill>
              </w:rPr>
            </w:pPr>
            <w:r>
              <w:rPr>
                <w:rFonts w:hint="eastAsia"/>
                <w:color w:val="000000" w:themeColor="text1"/>
                <w:kern w:val="0"/>
                <w:sz w:val="24"/>
                <w:szCs w:val="24"/>
                <w:highlight w:val="none"/>
                <w:lang w:val="en-US" w:eastAsia="zh-CN"/>
                <w14:textFill>
                  <w14:solidFill>
                    <w14:schemeClr w14:val="tx1"/>
                  </w14:solidFill>
                </w14:textFill>
              </w:rPr>
              <w:t>10</w:t>
            </w:r>
          </w:p>
        </w:tc>
      </w:tr>
      <w:tr w14:paraId="5775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663" w:type="dxa"/>
            <w:shd w:val="clear" w:color="auto" w:fill="auto"/>
            <w:noWrap/>
            <w:vAlign w:val="center"/>
          </w:tcPr>
          <w:p w14:paraId="5EB444B0">
            <w:pPr>
              <w:widowControl/>
              <w:adjustRightInd w:val="0"/>
              <w:snapToGrid w:val="0"/>
              <w:jc w:val="center"/>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5</w:t>
            </w:r>
          </w:p>
        </w:tc>
        <w:tc>
          <w:tcPr>
            <w:tcW w:w="1419" w:type="dxa"/>
            <w:shd w:val="clear" w:color="auto" w:fill="auto"/>
            <w:vAlign w:val="center"/>
          </w:tcPr>
          <w:p w14:paraId="2D111744">
            <w:pPr>
              <w:widowControl/>
              <w:adjustRightInd w:val="0"/>
              <w:snapToGrid w:val="0"/>
              <w:jc w:val="center"/>
              <w:rPr>
                <w:color w:val="000000" w:themeColor="text1"/>
                <w:kern w:val="0"/>
                <w:sz w:val="24"/>
                <w:szCs w:val="24"/>
                <w:highlight w:val="none"/>
                <w14:textFill>
                  <w14:solidFill>
                    <w14:schemeClr w14:val="tx1"/>
                  </w14:solidFill>
                </w14:textFill>
              </w:rPr>
            </w:pPr>
            <w:r>
              <w:rPr>
                <w:color w:val="000000" w:themeColor="text1"/>
                <w:sz w:val="24"/>
                <w:highlight w:val="none"/>
                <w14:textFill>
                  <w14:solidFill>
                    <w14:schemeClr w14:val="tx1"/>
                  </w14:solidFill>
                </w14:textFill>
              </w:rPr>
              <w:t>投诉流程、满意度调查</w:t>
            </w:r>
            <w:r>
              <w:rPr>
                <w:rFonts w:hint="eastAsia"/>
                <w:color w:val="000000" w:themeColor="text1"/>
                <w:sz w:val="24"/>
                <w:highlight w:val="none"/>
                <w14:textFill>
                  <w14:solidFill>
                    <w14:schemeClr w14:val="tx1"/>
                  </w14:solidFill>
                </w14:textFill>
              </w:rPr>
              <w:t>方案</w:t>
            </w:r>
            <w:r>
              <w:rPr>
                <w:color w:val="000000" w:themeColor="text1"/>
                <w:sz w:val="24"/>
                <w:highlight w:val="none"/>
                <w14:textFill>
                  <w14:solidFill>
                    <w14:schemeClr w14:val="tx1"/>
                  </w14:solidFill>
                </w14:textFill>
              </w:rPr>
              <w:t>评价</w:t>
            </w:r>
          </w:p>
        </w:tc>
        <w:tc>
          <w:tcPr>
            <w:tcW w:w="7311" w:type="dxa"/>
            <w:shd w:val="clear" w:color="auto" w:fill="auto"/>
            <w:vAlign w:val="center"/>
          </w:tcPr>
          <w:p w14:paraId="0AC25CDC">
            <w:pPr>
              <w:widowControl/>
              <w:adjustRightInd w:val="0"/>
              <w:snapToGrid w:val="0"/>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至少包含投诉接受范围、投诉处理流程、满意度调查范围、满意度调查方法，提高服务对象满意度方案</w:t>
            </w:r>
          </w:p>
          <w:p w14:paraId="5FAEED6E">
            <w:pPr>
              <w:widowControl/>
              <w:adjustRightInd w:val="0"/>
              <w:snapToGrid w:val="0"/>
              <w:rPr>
                <w:color w:val="000000" w:themeColor="text1"/>
                <w:kern w:val="0"/>
                <w:sz w:val="24"/>
                <w:szCs w:val="24"/>
                <w:highlight w:val="none"/>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满足本文件要求，无瑕疵得满分；</w:t>
            </w:r>
          </w:p>
          <w:p w14:paraId="29DB2057">
            <w:pPr>
              <w:adjustRightInd w:val="0"/>
              <w:snapToGrid w:val="0"/>
              <w:rPr>
                <w:rFonts w:cs="宋体"/>
                <w:color w:val="000000" w:themeColor="text1"/>
                <w:sz w:val="24"/>
                <w:szCs w:val="24"/>
                <w:highlight w:val="none"/>
                <w:lang w:val="zh-CN"/>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方案内容每出现1处瑕疵减</w:t>
            </w:r>
            <w:r>
              <w:rPr>
                <w:rFonts w:hint="eastAsia"/>
                <w:color w:val="000000" w:themeColor="text1"/>
                <w:kern w:val="0"/>
                <w:sz w:val="24"/>
                <w:szCs w:val="24"/>
                <w:highlight w:val="none"/>
                <w:lang w:val="en-US" w:eastAsia="zh-CN"/>
                <w14:textFill>
                  <w14:solidFill>
                    <w14:schemeClr w14:val="tx1"/>
                  </w14:solidFill>
                </w14:textFill>
              </w:rPr>
              <w:t>2</w:t>
            </w:r>
            <w:r>
              <w:rPr>
                <w:rFonts w:hint="eastAsia"/>
                <w:color w:val="000000" w:themeColor="text1"/>
                <w:kern w:val="0"/>
                <w:sz w:val="24"/>
                <w:szCs w:val="24"/>
                <w:highlight w:val="none"/>
                <w14:textFill>
                  <w14:solidFill>
                    <w14:schemeClr w14:val="tx1"/>
                  </w14:solidFill>
                </w14:textFill>
              </w:rPr>
              <w:t>分，最低0分。</w:t>
            </w:r>
          </w:p>
        </w:tc>
        <w:tc>
          <w:tcPr>
            <w:tcW w:w="932" w:type="dxa"/>
            <w:shd w:val="clear" w:color="auto" w:fill="auto"/>
            <w:vAlign w:val="center"/>
          </w:tcPr>
          <w:p w14:paraId="2FE87977">
            <w:pPr>
              <w:widowControl/>
              <w:adjustRightInd w:val="0"/>
              <w:snapToGrid w:val="0"/>
              <w:jc w:val="center"/>
              <w:rPr>
                <w:rFonts w:hint="eastAsia" w:eastAsia="宋体"/>
                <w:color w:val="000000" w:themeColor="text1"/>
                <w:kern w:val="0"/>
                <w:sz w:val="24"/>
                <w:szCs w:val="24"/>
                <w:highlight w:val="none"/>
                <w:lang w:eastAsia="zh-CN"/>
                <w14:textFill>
                  <w14:solidFill>
                    <w14:schemeClr w14:val="tx1"/>
                  </w14:solidFill>
                </w14:textFill>
              </w:rPr>
            </w:pPr>
            <w:r>
              <w:rPr>
                <w:rFonts w:hint="eastAsia"/>
                <w:color w:val="000000" w:themeColor="text1"/>
                <w:kern w:val="0"/>
                <w:sz w:val="24"/>
                <w:szCs w:val="24"/>
                <w:highlight w:val="none"/>
                <w:lang w:val="en-US" w:eastAsia="zh-CN"/>
                <w14:textFill>
                  <w14:solidFill>
                    <w14:schemeClr w14:val="tx1"/>
                  </w14:solidFill>
                </w14:textFill>
              </w:rPr>
              <w:t>8</w:t>
            </w:r>
            <w:bookmarkStart w:id="0" w:name="_GoBack"/>
            <w:bookmarkEnd w:id="0"/>
          </w:p>
        </w:tc>
      </w:tr>
      <w:tr w14:paraId="62F0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2082" w:type="dxa"/>
            <w:gridSpan w:val="2"/>
            <w:shd w:val="clear" w:color="auto" w:fill="auto"/>
            <w:noWrap/>
            <w:vAlign w:val="center"/>
          </w:tcPr>
          <w:p w14:paraId="7B9FF9C3">
            <w:pPr>
              <w:widowControl/>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合计</w:t>
            </w:r>
          </w:p>
        </w:tc>
        <w:tc>
          <w:tcPr>
            <w:tcW w:w="7311" w:type="dxa"/>
            <w:shd w:val="clear" w:color="auto" w:fill="auto"/>
            <w:vAlign w:val="center"/>
          </w:tcPr>
          <w:p w14:paraId="1B640856">
            <w:pPr>
              <w:widowControl/>
              <w:adjustRightInd w:val="0"/>
              <w:snapToGrid w:val="0"/>
              <w:jc w:val="center"/>
              <w:rPr>
                <w:rFonts w:cs="宋体"/>
                <w:color w:val="000000" w:themeColor="text1"/>
                <w:sz w:val="24"/>
                <w:szCs w:val="24"/>
                <w:highlight w:val="none"/>
                <w:lang w:val="zh-CN"/>
                <w14:textFill>
                  <w14:solidFill>
                    <w14:schemeClr w14:val="tx1"/>
                  </w14:solidFill>
                </w14:textFill>
              </w:rPr>
            </w:pPr>
            <w:r>
              <w:rPr>
                <w:color w:val="000000" w:themeColor="text1"/>
                <w:sz w:val="24"/>
                <w:highlight w:val="none"/>
                <w14:textFill>
                  <w14:solidFill>
                    <w14:schemeClr w14:val="tx1"/>
                  </w14:solidFill>
                </w14:textFill>
              </w:rPr>
              <w:t>合计</w:t>
            </w:r>
          </w:p>
        </w:tc>
        <w:tc>
          <w:tcPr>
            <w:tcW w:w="932" w:type="dxa"/>
            <w:shd w:val="clear" w:color="auto" w:fill="auto"/>
            <w:vAlign w:val="center"/>
          </w:tcPr>
          <w:p w14:paraId="58F32E85">
            <w:pPr>
              <w:widowControl/>
              <w:adjustRightInd w:val="0"/>
              <w:snapToGrid w:val="0"/>
              <w:jc w:val="center"/>
              <w:rPr>
                <w:color w:val="000000" w:themeColor="text1"/>
                <w:kern w:val="0"/>
                <w:sz w:val="24"/>
                <w:szCs w:val="24"/>
                <w:highlight w:val="none"/>
                <w14:textFill>
                  <w14:solidFill>
                    <w14:schemeClr w14:val="tx1"/>
                  </w14:solidFill>
                </w14:textFill>
              </w:rPr>
            </w:pPr>
            <w:r>
              <w:rPr>
                <w:color w:val="000000" w:themeColor="text1"/>
                <w:kern w:val="0"/>
                <w:sz w:val="24"/>
                <w:szCs w:val="24"/>
                <w:highlight w:val="none"/>
                <w14:textFill>
                  <w14:solidFill>
                    <w14:schemeClr w14:val="tx1"/>
                  </w14:solidFill>
                </w14:textFill>
              </w:rPr>
              <w:t>100</w:t>
            </w:r>
          </w:p>
        </w:tc>
      </w:tr>
    </w:tbl>
    <w:p w14:paraId="4F7EC62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9702FD"/>
    <w:rsid w:val="5AD14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2026-07-20T07:14:23Z</dcterms:created>
  <dc:creator>ggzy</dc:creator>
  <cp:lastModifiedBy>蓉蓉</cp:lastModifiedBy>
  <dcterms:modified xsi:type="dcterms:W3CDTF">2026-07-20T07:18:36Z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eyJoZGlkIjoiMDA5NDRlYzkxYmQxOGEyZDEzZmEzMzQxYjM2NTlmMTEiLCJ1c2VySWQiOiI0OTg2NzMyNzkifQ==</vt:lpwstr>
  </property>
  <property fmtid="{D5CDD505-2E9C-101B-9397-08002B2CF9AE}" pid="4" name="ICV">
    <vt:lpwstr>1357B85CF2874EFEB691BC531E93D8CA_12</vt:lpwstr>
  </property>
</Properties>
</file>